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VGI Use Case Sub Group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20 June 2017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https://drive.google.com/open?id=0B4_ZRQzLAsLNWUdWYU5UYXFFejA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Chair: Mike Bourton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Notes: Mike Bourton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7:30am – Roll Call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7:40am – 9:00am George Bellino Utility - OEM use cases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Over generation support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Peak Demand Management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Demand Fee Mitigation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Measurement and Monitoring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Voltage Support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Spin/Non-Spin Reserve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Over generation support (Distribution asset replacement deferral)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Frequency Regulation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Following are the highlights of the discussions during the meeting: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 chaired the meeting.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Discussions/Presentations: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George Bellino presented an overview of the  Utility - OEM use cases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Use Case 1 and 2 were considered Primary and detailed use cases are on the Google Drive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Use Case 3) is also Primary but had been covered in an earlier Meeting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Chair request: </w:t>
      </w:r>
      <w:r w:rsidDel="00000000" w:rsidR="00000000" w:rsidRPr="00000000">
        <w:rPr>
          <w:rtl w:val="0"/>
        </w:rPr>
        <w:t xml:space="preserve">The detailed use cases 1) and 2) on the main Google Drive are moved to the Meeting Folder and referenced in the spreadsheet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Group discussion was held on: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The need to do a detailed use case for the secondary use case 4) Action: George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Use Case 5) was well covered by the V2G DER use cases and specifically the Rule 21 Use case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A discussion on use 6) revealed that it was not a use case that may not be supported by EV’s in the short term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Use Case 7 - Should be combined with use case 1 - Action George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Use Case 8 - Requires a detailed use case - Action George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The Group then tagged the use cases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All use cases were Fragmented/Unified and Aggregated and Non Aggregated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Over generation support - V2G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Peak Demand Management - V1G/V2G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Demand Fee Mitigation - Already approved and Ranked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Measurement and Monitoring - V1G/V2G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Voltage Support - V2G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Spin/Non-Spin Reserve - Not Tagged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Over generation support (Distribution asset replacement deferral) - To be combined with 1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Frequency Regulation - V1G, V2G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there was Time left in the session, Chair invited Stephanie Palmer to explain the next steps in extracting the requirements - Shortly afterwards the Email was sent by the CPUC, so not covered in the notes.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Meeting ended at 8:40am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